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List: Suggested basic supplies </w:t>
      </w:r>
      <w:r w:rsidDel="00000000" w:rsidR="00000000" w:rsidRPr="00000000">
        <w:rPr>
          <w:sz w:val="16"/>
          <w:szCs w:val="16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vertAlign w:val="baseline"/>
          <w:rtl w:val="0"/>
        </w:rPr>
        <w:t xml:space="preserve">You won’t need to have</w:t>
      </w:r>
      <w:r w:rsidDel="00000000" w:rsidR="00000000" w:rsidRPr="00000000">
        <w:rPr>
          <w:i w:val="1"/>
          <w:vertAlign w:val="baseline"/>
          <w:rtl w:val="0"/>
        </w:rPr>
        <w:t xml:space="preserve"> every</w:t>
      </w:r>
      <w:r w:rsidDel="00000000" w:rsidR="00000000" w:rsidRPr="00000000">
        <w:rPr>
          <w:vertAlign w:val="baseline"/>
          <w:rtl w:val="0"/>
        </w:rPr>
        <w:t xml:space="preserve"> item in the Supply Kit, but you will need some basic items to run activities with adolescents: These include:</w:t>
      </w:r>
    </w:p>
    <w:tbl>
      <w:tblPr>
        <w:tblStyle w:val="Table1"/>
        <w:tblW w:w="8625.0" w:type="dxa"/>
        <w:jc w:val="left"/>
        <w:tblInd w:w="-108.0" w:type="dxa"/>
        <w:tblLayout w:type="fixed"/>
        <w:tblLook w:val="0000"/>
      </w:tblPr>
      <w:tblGrid>
        <w:gridCol w:w="1601"/>
        <w:gridCol w:w="1214"/>
        <w:gridCol w:w="2367"/>
        <w:gridCol w:w="3443"/>
        <w:tblGridChange w:id="0">
          <w:tblGrid>
            <w:gridCol w:w="1601"/>
            <w:gridCol w:w="1214"/>
            <w:gridCol w:w="2367"/>
            <w:gridCol w:w="3443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3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5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Bag, container or trunk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Should be strong, lightweight, waterproof, ideally with a strong strap or handles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be used to carry all of the supplies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String, rope or cloth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Should be strong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serve as a strap for the supply bag or container (if it doesn’t have one) so it can be carried or hung up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Smaller bag or container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Should be lightweight and waterproof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be used to keep supplies such as pencils and paper dry and organised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White/black board or flip chart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Should be portable, lightweight and reuseable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be used by facilitators or adolescents to write notes or instructions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Chalk or erasable markers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 packs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 markers/chalk pieces per pack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be used to write on a white board/black board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Hard 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be cardboard, plastic or another hard material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Adolescents can put paper against them to write/draw on and/or use them as ground sheets to sit 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Plain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packs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500 sheets/pack, Can be manilla, composition or coloured paper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be used for adolescents to draw and write 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Pencils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Both regular and coloured if possible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Adolescents can use for writing or drawing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Pencil sharpener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Small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Those with sharp edges should be stored and used carefully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Scissors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Should be used carefully as they have sharp blades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Glue sticks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Extra strength if possible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help attach one piece of paper to another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Art supplies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Paints, crayons, etc.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Include anything that adolescents can use to make art!</w:t>
            </w:r>
          </w:p>
        </w:tc>
      </w:tr>
    </w:tbl>
    <w:p w:rsidR="00000000" w:rsidDel="00000000" w:rsidP="00000000" w:rsidRDefault="00000000" w:rsidRPr="00000000" w14:paraId="00000036">
      <w:pPr>
        <w:spacing w:after="24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note that these are simply </w:t>
      </w:r>
      <w:r w:rsidDel="00000000" w:rsidR="00000000" w:rsidRPr="00000000">
        <w:rPr>
          <w:b w:val="1"/>
          <w:vertAlign w:val="baseline"/>
          <w:rtl w:val="0"/>
        </w:rPr>
        <w:t xml:space="preserve">estimates</w:t>
      </w:r>
      <w:r w:rsidDel="00000000" w:rsidR="00000000" w:rsidRPr="00000000">
        <w:rPr>
          <w:vertAlign w:val="baseline"/>
          <w:rtl w:val="0"/>
        </w:rPr>
        <w:t xml:space="preserve"> of how many items you might need for working with a group of approximately 50 adolescents over a three-month period!  Do what makes sense for adolescent girls and boys in your particular situation – and remember that some items may be used up more quickly than others. </w:t>
      </w:r>
    </w:p>
    <w:sectPr>
      <w:footerReference r:id="rId6" w:type="default"/>
      <w:footerReference r:id="rId7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360" w:line="276" w:lineRule="auto"/>
      <w:ind w:left="432" w:hanging="432"/>
    </w:pPr>
    <w:rPr>
      <w:rFonts w:ascii="Calibri" w:cs="Calibri" w:eastAsia="Calibri" w:hAnsi="Calibri"/>
      <w:b w:val="1"/>
      <w:smallCaps w:val="1"/>
      <w:color w:val="0653b3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40" w:line="276" w:lineRule="auto"/>
      <w:ind w:left="792" w:hanging="432"/>
    </w:pPr>
    <w:rPr>
      <w:rFonts w:ascii="Times" w:cs="Times" w:eastAsia="Times" w:hAnsi="Times"/>
      <w:b w:val="1"/>
      <w:i w:val="1"/>
      <w:color w:val="0653b3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="276" w:lineRule="auto"/>
      <w:ind w:left="720" w:hanging="720"/>
    </w:pPr>
    <w:rPr>
      <w:rFonts w:ascii="Calibri" w:cs="Calibri" w:eastAsia="Calibri" w:hAnsi="Calibri"/>
      <w:b w:val="1"/>
      <w:color w:val="0653b3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00" w:line="276" w:lineRule="auto"/>
      <w:ind w:left="864" w:hanging="864"/>
    </w:pPr>
    <w:rPr>
      <w:rFonts w:ascii="Calibri" w:cs="Calibri" w:eastAsia="Calibri" w:hAnsi="Calibri"/>
      <w:b w:val="1"/>
      <w:i w:val="1"/>
      <w:color w:val="0653b3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